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90F2" w14:textId="77777777" w:rsidR="00124739" w:rsidRPr="00124739" w:rsidRDefault="00CD4669" w:rsidP="00CD4669">
      <w:pPr>
        <w:spacing w:line="240" w:lineRule="auto"/>
        <w:rPr>
          <w:b/>
          <w:bCs/>
        </w:rPr>
      </w:pPr>
      <w:r w:rsidRPr="00124739">
        <w:rPr>
          <w:b/>
          <w:bCs/>
        </w:rPr>
        <w:t xml:space="preserve">DOLF Rivers Celebrates World Malaria Day 2026 </w:t>
      </w:r>
    </w:p>
    <w:p w14:paraId="34CD78A8" w14:textId="77777777" w:rsidR="00CD4669" w:rsidRDefault="00CD4669" w:rsidP="00CD4669">
      <w:pPr>
        <w:spacing w:line="240" w:lineRule="auto"/>
      </w:pPr>
      <w:r>
        <w:t>Location: Port Harcourt LGA (PHALGA), Rivers State</w:t>
      </w:r>
    </w:p>
    <w:p w14:paraId="499A8505" w14:textId="77777777" w:rsidR="00CD4669" w:rsidRDefault="00CD4669" w:rsidP="00CD4669">
      <w:pPr>
        <w:spacing w:line="240" w:lineRule="auto"/>
      </w:pPr>
      <w:r>
        <w:t xml:space="preserve">Community: </w:t>
      </w:r>
      <w:proofErr w:type="spellStart"/>
      <w:r>
        <w:t>Borokiri</w:t>
      </w:r>
      <w:proofErr w:type="spellEnd"/>
      <w:r>
        <w:t xml:space="preserve"> Waterfront (Enugu Waterside)</w:t>
      </w:r>
    </w:p>
    <w:p w14:paraId="47EDEF4D" w14:textId="77777777" w:rsidR="00CD4669" w:rsidRDefault="00CD4669" w:rsidP="00CD4669">
      <w:pPr>
        <w:spacing w:line="240" w:lineRule="auto"/>
      </w:pPr>
      <w:r>
        <w:t>Date of Implementation: 2 May 2026</w:t>
      </w:r>
    </w:p>
    <w:p w14:paraId="0E0238B0" w14:textId="77777777" w:rsidR="00CD4669" w:rsidRDefault="00CD4669" w:rsidP="00CD4669">
      <w:pPr>
        <w:spacing w:line="240" w:lineRule="auto"/>
      </w:pPr>
      <w:r>
        <w:t>Reporting Period: April 2026 (Q2)</w:t>
      </w:r>
    </w:p>
    <w:p w14:paraId="06457801" w14:textId="77777777" w:rsidR="00CD4669" w:rsidRDefault="00CD4669" w:rsidP="00CD4669">
      <w:pPr>
        <w:spacing w:line="240" w:lineRule="auto"/>
      </w:pPr>
    </w:p>
    <w:p w14:paraId="32197D74" w14:textId="77777777" w:rsidR="00CD4669" w:rsidRDefault="00CD4669" w:rsidP="00CD4669">
      <w:pPr>
        <w:spacing w:line="240" w:lineRule="auto"/>
      </w:pPr>
      <w:r>
        <w:t>1. Background and Rationale</w:t>
      </w:r>
    </w:p>
    <w:p w14:paraId="16EEA2BC" w14:textId="7BE14821" w:rsidR="00CD4669" w:rsidRDefault="00CD4669" w:rsidP="00CD4669">
      <w:pPr>
        <w:spacing w:line="240" w:lineRule="auto"/>
      </w:pPr>
      <w:r>
        <w:t>In commemoration of World Malaria Day 2026 (April 26</w:t>
      </w:r>
      <w:r>
        <w:t>), Dawn</w:t>
      </w:r>
      <w:r>
        <w:t xml:space="preserve"> of Life Foundation (DOLF), in collaboration with the Association for Reproductive and Family Health (ARFH) and local health stakeholders, implemented an integrated community outreach in Enugu Waterside, </w:t>
      </w:r>
      <w:proofErr w:type="spellStart"/>
      <w:r>
        <w:t>Borokiri</w:t>
      </w:r>
      <w:proofErr w:type="spellEnd"/>
      <w:r>
        <w:t>.</w:t>
      </w:r>
    </w:p>
    <w:p w14:paraId="1905FC3B" w14:textId="0C991360" w:rsidR="00CD4669" w:rsidRDefault="00CD4669" w:rsidP="00CD4669">
      <w:pPr>
        <w:spacing w:line="240" w:lineRule="auto"/>
      </w:pPr>
      <w:r>
        <w:t>This intervention was designed to extend integrated TB, HIV, and Malaria (ATM) services to underserved and hard-to-reach populations who face significant barriers to accessing facility-based healthcare. The outreach aligns with DOLF’s mission to improve healthcare access for vulnerable populations through community-driven approaches.</w:t>
      </w:r>
    </w:p>
    <w:p w14:paraId="15AA266C" w14:textId="77777777" w:rsidR="00CD4669" w:rsidRDefault="00CD4669" w:rsidP="00CD4669">
      <w:pPr>
        <w:spacing w:line="240" w:lineRule="auto"/>
      </w:pPr>
      <w:r>
        <w:t xml:space="preserve">2. PRE OUTREACH/PLANNING ACTIVITIES </w:t>
      </w:r>
    </w:p>
    <w:p w14:paraId="3B90BF8C" w14:textId="77777777" w:rsidR="00CD4669" w:rsidRDefault="00CD4669" w:rsidP="00CD4669">
      <w:pPr>
        <w:spacing w:line="240" w:lineRule="auto"/>
      </w:pPr>
      <w:r>
        <w:t>Pre-outreach advocacy and planning activities commenced on 22 April 2026, engaging key community stakeholders and health system actors to ensure ownership, acceptance, and effective mobilization.</w:t>
      </w:r>
    </w:p>
    <w:p w14:paraId="3B112E2F" w14:textId="77777777" w:rsidR="00CD4669" w:rsidRDefault="00CD4669" w:rsidP="00CD4669">
      <w:pPr>
        <w:spacing w:line="240" w:lineRule="auto"/>
      </w:pPr>
      <w:r>
        <w:t>2. Community Profile (Know Your Community – KYC)</w:t>
      </w:r>
    </w:p>
    <w:p w14:paraId="1D259020" w14:textId="77777777" w:rsidR="00CD4669" w:rsidRDefault="00CD4669" w:rsidP="00CD4669">
      <w:pPr>
        <w:spacing w:line="240" w:lineRule="auto"/>
      </w:pPr>
      <w:r>
        <w:t xml:space="preserve">Enugu Waterside is a densely populated informal settlement within the </w:t>
      </w:r>
      <w:proofErr w:type="spellStart"/>
      <w:r>
        <w:t>Borokiri</w:t>
      </w:r>
      <w:proofErr w:type="spellEnd"/>
      <w:r>
        <w:t xml:space="preserve"> waterfront, comprising six sub-communities (“Polos”). The area is predominantly inhabited by the Ijaw ethnic group, whose livelihoods are closely tied to fishing and informal trade.</w:t>
      </w:r>
    </w:p>
    <w:p w14:paraId="4516E74D" w14:textId="77777777" w:rsidR="00CD4669" w:rsidRDefault="00CD4669" w:rsidP="00CD4669">
      <w:pPr>
        <w:spacing w:line="240" w:lineRule="auto"/>
      </w:pPr>
      <w:r>
        <w:t xml:space="preserve">Despite its economic relevance—providing access to Creek Road Market and </w:t>
      </w:r>
      <w:proofErr w:type="spellStart"/>
      <w:r>
        <w:t>Borokiri</w:t>
      </w:r>
      <w:proofErr w:type="spellEnd"/>
      <w:r>
        <w:t xml:space="preserve"> Evening Market—the community faces significant public health challenges, including:</w:t>
      </w:r>
    </w:p>
    <w:p w14:paraId="1AB46059" w14:textId="77777777" w:rsidR="00CD4669" w:rsidRDefault="00CD4669" w:rsidP="00CD4669">
      <w:pPr>
        <w:spacing w:line="240" w:lineRule="auto"/>
      </w:pPr>
      <w:r>
        <w:t>- Poor environmental sanitation</w:t>
      </w:r>
    </w:p>
    <w:p w14:paraId="14E0F4FA" w14:textId="77777777" w:rsidR="00CD4669" w:rsidRDefault="00CD4669" w:rsidP="00CD4669">
      <w:pPr>
        <w:spacing w:line="240" w:lineRule="auto"/>
      </w:pPr>
      <w:r>
        <w:t>- Open defecation practices</w:t>
      </w:r>
    </w:p>
    <w:p w14:paraId="1522C89B" w14:textId="77777777" w:rsidR="00CD4669" w:rsidRDefault="00CD4669" w:rsidP="00CD4669">
      <w:pPr>
        <w:spacing w:line="240" w:lineRule="auto"/>
      </w:pPr>
      <w:r>
        <w:t>- Inadequate waste disposal systems</w:t>
      </w:r>
    </w:p>
    <w:p w14:paraId="7276951B" w14:textId="77777777" w:rsidR="00CD4669" w:rsidRDefault="00CD4669" w:rsidP="00CD4669">
      <w:pPr>
        <w:spacing w:line="240" w:lineRule="auto"/>
      </w:pPr>
      <w:r>
        <w:t>- Stagnant water bodies serving as breeding grounds for malaria vectors</w:t>
      </w:r>
    </w:p>
    <w:p w14:paraId="4A4332DB" w14:textId="77777777" w:rsidR="00CD4669" w:rsidRDefault="00CD4669" w:rsidP="00CD4669">
      <w:pPr>
        <w:spacing w:line="240" w:lineRule="auto"/>
      </w:pPr>
      <w:r>
        <w:t>These conditions heighten the risk of communicable diseases, particularly malaria and tuberculosis, making the community a priority for targeted interventions.</w:t>
      </w:r>
    </w:p>
    <w:p w14:paraId="0EE7A64D" w14:textId="77777777" w:rsidR="00CD4669" w:rsidRDefault="00CD4669" w:rsidP="00CD4669">
      <w:pPr>
        <w:spacing w:line="240" w:lineRule="auto"/>
      </w:pPr>
    </w:p>
    <w:p w14:paraId="0F02D3C1" w14:textId="6789073D" w:rsidR="00CD4669" w:rsidRDefault="00CD4669" w:rsidP="00CD4669">
      <w:pPr>
        <w:spacing w:line="240" w:lineRule="auto"/>
      </w:pPr>
      <w:r>
        <w:t>4. Advocacy and Stakeholder Engagement</w:t>
      </w:r>
    </w:p>
    <w:p w14:paraId="7A823E92" w14:textId="77777777" w:rsidR="00CD4669" w:rsidRDefault="00CD4669" w:rsidP="00CD4669">
      <w:pPr>
        <w:spacing w:line="240" w:lineRule="auto"/>
      </w:pPr>
      <w:r>
        <w:lastRenderedPageBreak/>
        <w:t>DOLF conducted strategic advocacy visits in collaboration with: Rivers State Malaria Elimination Program (RSMEP),</w:t>
      </w:r>
    </w:p>
    <w:p w14:paraId="71A74E5D" w14:textId="77777777" w:rsidR="00CD4669" w:rsidRDefault="00CD4669" w:rsidP="00CD4669">
      <w:pPr>
        <w:spacing w:line="240" w:lineRule="auto"/>
      </w:pPr>
      <w:r>
        <w:t xml:space="preserve">Port Harcourt LGA health authority </w:t>
      </w:r>
    </w:p>
    <w:p w14:paraId="3A763235" w14:textId="77777777" w:rsidR="00CD4669" w:rsidRDefault="00CD4669" w:rsidP="00CD4669">
      <w:pPr>
        <w:spacing w:line="240" w:lineRule="auto"/>
      </w:pPr>
      <w:r>
        <w:t>Ward 7 focal personnel</w:t>
      </w:r>
    </w:p>
    <w:p w14:paraId="6370EECC" w14:textId="77777777" w:rsidR="00CD4669" w:rsidRDefault="00CD4669" w:rsidP="00CD4669">
      <w:pPr>
        <w:spacing w:line="240" w:lineRule="auto"/>
      </w:pPr>
      <w:r>
        <w:t>Church-Hill Model Primary Health Centre staff</w:t>
      </w:r>
    </w:p>
    <w:p w14:paraId="7E85F640" w14:textId="77777777" w:rsidR="00CD4669" w:rsidRDefault="00CD4669" w:rsidP="00CD4669">
      <w:pPr>
        <w:spacing w:line="240" w:lineRule="auto"/>
      </w:pPr>
      <w:r>
        <w:t>Community leaders (Polo Chairmen).</w:t>
      </w:r>
    </w:p>
    <w:p w14:paraId="7444F5E6" w14:textId="77777777" w:rsidR="00CD4669" w:rsidRDefault="00CD4669" w:rsidP="00CD4669">
      <w:pPr>
        <w:spacing w:line="240" w:lineRule="auto"/>
      </w:pPr>
      <w:r>
        <w:t>The DOLF Malaria Focal Person, Mr. Chidera Onuoha, led engagements with leaders across four Polo within Enugu Waterside. These consultations facilitated:</w:t>
      </w:r>
    </w:p>
    <w:p w14:paraId="149A741D" w14:textId="27211EDB" w:rsidR="00CD4669" w:rsidRDefault="00CD4669" w:rsidP="00CD4669">
      <w:pPr>
        <w:pStyle w:val="ListParagraph"/>
        <w:numPr>
          <w:ilvl w:val="0"/>
          <w:numId w:val="3"/>
        </w:numPr>
        <w:spacing w:line="240" w:lineRule="auto"/>
      </w:pPr>
      <w:r>
        <w:t>Community entry and trust-building</w:t>
      </w:r>
    </w:p>
    <w:p w14:paraId="0465443F" w14:textId="536FDB64" w:rsidR="00CD4669" w:rsidRDefault="00CD4669" w:rsidP="00CD4669">
      <w:pPr>
        <w:pStyle w:val="ListParagraph"/>
        <w:numPr>
          <w:ilvl w:val="0"/>
          <w:numId w:val="3"/>
        </w:numPr>
        <w:spacing w:line="240" w:lineRule="auto"/>
      </w:pPr>
      <w:r>
        <w:t>Selection of an accessible outreach site (Unity Road, Belema Polo)</w:t>
      </w:r>
    </w:p>
    <w:p w14:paraId="2D3A24B6" w14:textId="033E3AE1" w:rsidR="00CD4669" w:rsidRDefault="00CD4669" w:rsidP="00CD4669">
      <w:pPr>
        <w:pStyle w:val="ListParagraph"/>
        <w:numPr>
          <w:ilvl w:val="0"/>
          <w:numId w:val="3"/>
        </w:numPr>
        <w:spacing w:line="240" w:lineRule="auto"/>
      </w:pPr>
      <w:r>
        <w:t>Mobilization support across the communities</w:t>
      </w:r>
    </w:p>
    <w:p w14:paraId="2A9F1A68" w14:textId="77777777" w:rsidR="00CD4669" w:rsidRPr="00CD4669" w:rsidRDefault="00CD4669" w:rsidP="00CD4669">
      <w:pPr>
        <w:spacing w:line="240" w:lineRule="auto"/>
        <w:rPr>
          <w:b/>
          <w:bCs/>
        </w:rPr>
      </w:pPr>
      <w:r w:rsidRPr="00CD4669">
        <w:rPr>
          <w:b/>
          <w:bCs/>
        </w:rPr>
        <w:t>5. Outreach Implementation</w:t>
      </w:r>
    </w:p>
    <w:p w14:paraId="34C4DBC7" w14:textId="77777777" w:rsidR="00CD4669" w:rsidRDefault="00CD4669" w:rsidP="00CD4669">
      <w:pPr>
        <w:spacing w:line="240" w:lineRule="auto"/>
      </w:pPr>
      <w:r>
        <w:t>The outreach was conducted at a centrally located venue to maximize accessibility. Strong community mobilization ensured high turnout and participation.</w:t>
      </w:r>
    </w:p>
    <w:p w14:paraId="7F302C84" w14:textId="77777777" w:rsidR="00CD4669" w:rsidRDefault="00CD4669" w:rsidP="00CD4669">
      <w:pPr>
        <w:spacing w:line="240" w:lineRule="auto"/>
      </w:pPr>
      <w:r>
        <w:t>Services Provided</w:t>
      </w:r>
    </w:p>
    <w:p w14:paraId="7628D23D" w14:textId="77777777" w:rsidR="00CD4669" w:rsidRDefault="00CD4669" w:rsidP="00CD4669">
      <w:pPr>
        <w:spacing w:line="240" w:lineRule="auto"/>
      </w:pPr>
      <w:r>
        <w:t>An integrated package of health services was delivered, including:</w:t>
      </w:r>
    </w:p>
    <w:p w14:paraId="17166BF8" w14:textId="77777777" w:rsidR="00CD4669" w:rsidRDefault="00CD4669" w:rsidP="00CD4669">
      <w:pPr>
        <w:spacing w:line="240" w:lineRule="auto"/>
      </w:pPr>
      <w:r>
        <w:t>- Malaria Testing and Treatment for confirmed cases</w:t>
      </w:r>
    </w:p>
    <w:p w14:paraId="5238BBAB" w14:textId="77777777" w:rsidR="00CD4669" w:rsidRDefault="00CD4669" w:rsidP="00CD4669">
      <w:pPr>
        <w:spacing w:line="240" w:lineRule="auto"/>
      </w:pPr>
      <w:r>
        <w:t>- Tuberculosis Screening (symptom-based and GeneXpert/PDX-supported testing)</w:t>
      </w:r>
    </w:p>
    <w:p w14:paraId="65848043" w14:textId="77777777" w:rsidR="00CD4669" w:rsidRDefault="00CD4669" w:rsidP="00CD4669">
      <w:pPr>
        <w:spacing w:line="240" w:lineRule="auto"/>
      </w:pPr>
      <w:r>
        <w:t>- Hepatitis B Virus (HBV) Testing</w:t>
      </w:r>
    </w:p>
    <w:p w14:paraId="27396ED2" w14:textId="77777777" w:rsidR="00CD4669" w:rsidRDefault="00CD4669" w:rsidP="00CD4669">
      <w:pPr>
        <w:spacing w:line="240" w:lineRule="auto"/>
      </w:pPr>
      <w:r>
        <w:t>- HIV and Syphilis Testing, including PMTCT services for pregnant women</w:t>
      </w:r>
    </w:p>
    <w:p w14:paraId="615D3804" w14:textId="77777777" w:rsidR="00CD4669" w:rsidRDefault="00CD4669" w:rsidP="00CD4669">
      <w:pPr>
        <w:spacing w:line="240" w:lineRule="auto"/>
      </w:pPr>
      <w:r>
        <w:t>- Health Education and Risk Communication on communicable diseases and prevention</w:t>
      </w:r>
    </w:p>
    <w:p w14:paraId="503AE777" w14:textId="77777777" w:rsidR="00CD4669" w:rsidRDefault="00CD4669" w:rsidP="00CD4669">
      <w:pPr>
        <w:spacing w:line="240" w:lineRule="auto"/>
      </w:pPr>
      <w:r>
        <w:t>- Distribution of Long-Lasting Insecticide-Treated Nets (LLINs) to pregnant women</w:t>
      </w:r>
    </w:p>
    <w:p w14:paraId="1FA72DFF" w14:textId="6B9C4F17" w:rsidR="00CD4669" w:rsidRDefault="00CD4669" w:rsidP="00CD4669">
      <w:pPr>
        <w:spacing w:line="240" w:lineRule="auto"/>
      </w:pPr>
      <w:r>
        <w:t>Community members expressed strong appreciation for the outreach, particularly due to the rarity of such services within the waterfront setting.</w:t>
      </w:r>
    </w:p>
    <w:p w14:paraId="577510A6" w14:textId="056570DB" w:rsidR="00CD4669" w:rsidRPr="00CD4669" w:rsidRDefault="00CD4669" w:rsidP="00CD4669">
      <w:pPr>
        <w:spacing w:line="240" w:lineRule="auto"/>
        <w:rPr>
          <w:b/>
          <w:bCs/>
        </w:rPr>
      </w:pPr>
      <w:r>
        <w:t xml:space="preserve"> </w:t>
      </w:r>
      <w:r w:rsidRPr="00CD4669">
        <w:rPr>
          <w:b/>
          <w:bCs/>
        </w:rPr>
        <w:t>6. Results and Key Achievements</w:t>
      </w:r>
    </w:p>
    <w:p w14:paraId="410C9861" w14:textId="77777777" w:rsidR="00CD4669" w:rsidRDefault="00CD4669" w:rsidP="00CD4669">
      <w:pPr>
        <w:spacing w:line="240" w:lineRule="auto"/>
      </w:pPr>
      <w:r>
        <w:t>Overall Reach</w:t>
      </w:r>
    </w:p>
    <w:p w14:paraId="1B3EA68B" w14:textId="77777777" w:rsidR="00CD4669" w:rsidRDefault="00CD4669" w:rsidP="00CD4669">
      <w:pPr>
        <w:spacing w:line="240" w:lineRule="auto"/>
      </w:pPr>
      <w:r>
        <w:t>865 individuals reached with integrated TB, HIV, and Malaria services and messaging</w:t>
      </w:r>
    </w:p>
    <w:p w14:paraId="4D87EC26" w14:textId="77777777" w:rsidR="00CD4669" w:rsidRDefault="00CD4669" w:rsidP="00CD4669">
      <w:pPr>
        <w:spacing w:line="240" w:lineRule="auto"/>
      </w:pPr>
      <w:r>
        <w:t>Service Uptake</w:t>
      </w:r>
    </w:p>
    <w:p w14:paraId="727B5CD8" w14:textId="77777777" w:rsidR="00CD4669" w:rsidRDefault="00CD4669" w:rsidP="00CD4669">
      <w:pPr>
        <w:spacing w:line="240" w:lineRule="auto"/>
      </w:pPr>
      <w:r>
        <w:t>Malaria Testing: 132 individuals</w:t>
      </w:r>
    </w:p>
    <w:p w14:paraId="01A5D205" w14:textId="77777777" w:rsidR="00CD4669" w:rsidRDefault="00CD4669" w:rsidP="00CD4669">
      <w:pPr>
        <w:spacing w:line="240" w:lineRule="auto"/>
      </w:pPr>
      <w:r>
        <w:t>Malaria Treatment: 31 confirmed cases treated</w:t>
      </w:r>
    </w:p>
    <w:p w14:paraId="5176AD8E" w14:textId="77777777" w:rsidR="00CD4669" w:rsidRDefault="00CD4669" w:rsidP="00CD4669">
      <w:pPr>
        <w:spacing w:line="240" w:lineRule="auto"/>
      </w:pPr>
      <w:r>
        <w:t>TB Screening (PDX): 86 individuals</w:t>
      </w:r>
    </w:p>
    <w:p w14:paraId="50ED1314" w14:textId="77777777" w:rsidR="00CD4669" w:rsidRDefault="00CD4669" w:rsidP="00CD4669">
      <w:pPr>
        <w:spacing w:line="240" w:lineRule="auto"/>
      </w:pPr>
      <w:r>
        <w:lastRenderedPageBreak/>
        <w:t>TB Symptom Screening: 76 individuals</w:t>
      </w:r>
    </w:p>
    <w:p w14:paraId="3201BA30" w14:textId="77777777" w:rsidR="00CD4669" w:rsidRDefault="00CD4669" w:rsidP="00CD4669">
      <w:pPr>
        <w:spacing w:line="240" w:lineRule="auto"/>
      </w:pPr>
      <w:r>
        <w:t>TB Investigations Conducted: 15</w:t>
      </w:r>
    </w:p>
    <w:p w14:paraId="075087B3" w14:textId="77777777" w:rsidR="00CD4669" w:rsidRDefault="00CD4669" w:rsidP="00CD4669">
      <w:pPr>
        <w:spacing w:line="240" w:lineRule="auto"/>
      </w:pPr>
      <w:r>
        <w:t>HBV Testing: 132 individuals</w:t>
      </w:r>
    </w:p>
    <w:p w14:paraId="3772A3B6" w14:textId="77777777" w:rsidR="00CD4669" w:rsidRDefault="00CD4669" w:rsidP="00CD4669">
      <w:pPr>
        <w:spacing w:line="240" w:lineRule="auto"/>
      </w:pPr>
      <w:r>
        <w:t>Pregnant Women Screened for HIV/Syphilis: 65</w:t>
      </w:r>
    </w:p>
    <w:p w14:paraId="43FF541C" w14:textId="77777777" w:rsidR="00CD4669" w:rsidRDefault="00CD4669" w:rsidP="00CD4669">
      <w:pPr>
        <w:spacing w:line="240" w:lineRule="auto"/>
      </w:pPr>
      <w:r>
        <w:t>Pregnant Women Tested for HIV/Syphilis: 54</w:t>
      </w:r>
    </w:p>
    <w:p w14:paraId="354A8B97" w14:textId="77777777" w:rsidR="00CD4669" w:rsidRPr="00CD4669" w:rsidRDefault="00CD4669" w:rsidP="00CD4669">
      <w:pPr>
        <w:spacing w:line="240" w:lineRule="auto"/>
        <w:rPr>
          <w:b/>
          <w:bCs/>
        </w:rPr>
      </w:pPr>
      <w:r w:rsidRPr="00CD4669">
        <w:rPr>
          <w:b/>
          <w:bCs/>
        </w:rPr>
        <w:t>Community Engagement</w:t>
      </w:r>
    </w:p>
    <w:p w14:paraId="07D9FC65" w14:textId="77777777" w:rsidR="00CD4669" w:rsidRDefault="00CD4669" w:rsidP="00CD4669">
      <w:pPr>
        <w:spacing w:line="240" w:lineRule="auto"/>
      </w:pPr>
      <w:r>
        <w:t>Advocacy visits conducted across 4 community clusters</w:t>
      </w:r>
    </w:p>
    <w:p w14:paraId="3506E7B2" w14:textId="32EE6503" w:rsidR="00CD4669" w:rsidRDefault="00CD4669" w:rsidP="00CD4669">
      <w:pPr>
        <w:spacing w:line="240" w:lineRule="auto"/>
      </w:pPr>
      <w:r>
        <w:t>Strong community ownership demonstrated through active participation and post-event sanitation support</w:t>
      </w:r>
    </w:p>
    <w:p w14:paraId="3D8D6D5B" w14:textId="77777777" w:rsidR="00CD4669" w:rsidRDefault="00CD4669" w:rsidP="00CD4669">
      <w:pPr>
        <w:spacing w:line="240" w:lineRule="auto"/>
      </w:pPr>
    </w:p>
    <w:p w14:paraId="6A9E104D" w14:textId="7EA5E69F" w:rsidR="00CD4669" w:rsidRPr="00CD4669" w:rsidRDefault="00CD4669" w:rsidP="00CD4669">
      <w:pPr>
        <w:spacing w:line="240" w:lineRule="auto"/>
        <w:rPr>
          <w:b/>
          <w:bCs/>
        </w:rPr>
      </w:pPr>
      <w:r w:rsidRPr="00CD4669">
        <w:rPr>
          <w:b/>
          <w:bCs/>
        </w:rPr>
        <w:t>Impact Highlights</w:t>
      </w:r>
    </w:p>
    <w:p w14:paraId="4CE43F6D" w14:textId="3F65DE05" w:rsidR="00CD4669" w:rsidRDefault="00CD4669" w:rsidP="00CD4669">
      <w:pPr>
        <w:pStyle w:val="ListParagraph"/>
        <w:numPr>
          <w:ilvl w:val="0"/>
          <w:numId w:val="3"/>
        </w:numPr>
        <w:spacing w:line="240" w:lineRule="auto"/>
      </w:pPr>
      <w:r>
        <w:t xml:space="preserve">Improved awareness and knowledge </w:t>
      </w:r>
      <w:r>
        <w:t>of malaria</w:t>
      </w:r>
      <w:r>
        <w:t>, TB and HIV among residents</w:t>
      </w:r>
    </w:p>
    <w:p w14:paraId="6B621030" w14:textId="58968D82" w:rsidR="00CD4669" w:rsidRDefault="00CD4669" w:rsidP="00CD4669">
      <w:pPr>
        <w:pStyle w:val="ListParagraph"/>
        <w:numPr>
          <w:ilvl w:val="0"/>
          <w:numId w:val="3"/>
        </w:numPr>
        <w:spacing w:line="240" w:lineRule="auto"/>
      </w:pPr>
      <w:r>
        <w:t>Increased demand for integrated outreach services</w:t>
      </w:r>
    </w:p>
    <w:p w14:paraId="2C13E83E" w14:textId="41CF62B4" w:rsidR="00CD4669" w:rsidRDefault="00CD4669" w:rsidP="00CD4669">
      <w:pPr>
        <w:pStyle w:val="ListParagraph"/>
        <w:numPr>
          <w:ilvl w:val="0"/>
          <w:numId w:val="3"/>
        </w:numPr>
        <w:spacing w:line="240" w:lineRule="auto"/>
      </w:pPr>
      <w:r>
        <w:t>Strengthened collaboration between community structures and health systems</w:t>
      </w:r>
    </w:p>
    <w:p w14:paraId="12C14E18" w14:textId="77777777" w:rsidR="00CD4669" w:rsidRPr="00CD4669" w:rsidRDefault="00CD4669" w:rsidP="00CD4669">
      <w:pPr>
        <w:spacing w:line="240" w:lineRule="auto"/>
        <w:rPr>
          <w:b/>
          <w:bCs/>
        </w:rPr>
      </w:pPr>
      <w:proofErr w:type="gramStart"/>
      <w:r w:rsidRPr="00CD4669">
        <w:rPr>
          <w:b/>
          <w:bCs/>
        </w:rPr>
        <w:t>7 .</w:t>
      </w:r>
      <w:proofErr w:type="gramEnd"/>
      <w:r w:rsidRPr="00CD4669">
        <w:rPr>
          <w:b/>
          <w:bCs/>
        </w:rPr>
        <w:t xml:space="preserve"> Methodology</w:t>
      </w:r>
    </w:p>
    <w:p w14:paraId="1CDDB1B5" w14:textId="77777777" w:rsidR="00CD4669" w:rsidRDefault="00CD4669" w:rsidP="00CD4669">
      <w:pPr>
        <w:spacing w:line="240" w:lineRule="auto"/>
      </w:pPr>
      <w:r>
        <w:t>The outreach utilized a community-centered, integrated service delivery approach, including:</w:t>
      </w:r>
    </w:p>
    <w:p w14:paraId="7FF72F10" w14:textId="1616D1AF" w:rsidR="00CD4669" w:rsidRDefault="00CD4669" w:rsidP="00CD4669">
      <w:pPr>
        <w:pStyle w:val="ListParagraph"/>
        <w:numPr>
          <w:ilvl w:val="0"/>
          <w:numId w:val="3"/>
        </w:numPr>
        <w:spacing w:line="240" w:lineRule="auto"/>
      </w:pPr>
      <w:r>
        <w:t>Health education sessions on malaria, TB, HIV, and WASH practices</w:t>
      </w:r>
    </w:p>
    <w:p w14:paraId="48D56F80" w14:textId="7C99BDDB" w:rsidR="00CD4669" w:rsidRDefault="00CD4669" w:rsidP="00CD4669">
      <w:pPr>
        <w:pStyle w:val="ListParagraph"/>
        <w:numPr>
          <w:ilvl w:val="0"/>
          <w:numId w:val="3"/>
        </w:numPr>
        <w:spacing w:line="240" w:lineRule="auto"/>
      </w:pPr>
      <w:r>
        <w:t>TB counseling and screening (symptom-based and diagnostic support)</w:t>
      </w:r>
    </w:p>
    <w:p w14:paraId="3F23508D" w14:textId="62C02EC2" w:rsidR="00CD4669" w:rsidRDefault="00CD4669" w:rsidP="00CD4669">
      <w:pPr>
        <w:pStyle w:val="ListParagraph"/>
        <w:numPr>
          <w:ilvl w:val="0"/>
          <w:numId w:val="3"/>
        </w:numPr>
        <w:spacing w:line="240" w:lineRule="auto"/>
      </w:pPr>
      <w:r>
        <w:t>Use of PDX/GeneXpert technology for TB detection</w:t>
      </w:r>
    </w:p>
    <w:p w14:paraId="48D5FCE6" w14:textId="04FFCF5A" w:rsidR="00CD4669" w:rsidRDefault="00CD4669" w:rsidP="00CD4669">
      <w:pPr>
        <w:pStyle w:val="ListParagraph"/>
        <w:numPr>
          <w:ilvl w:val="0"/>
          <w:numId w:val="3"/>
        </w:numPr>
        <w:spacing w:line="240" w:lineRule="auto"/>
      </w:pPr>
      <w:r>
        <w:t>Targeted service delivery for vulnerable groups, especially pregnant women</w:t>
      </w:r>
    </w:p>
    <w:p w14:paraId="6C9C54D5" w14:textId="7A337C17" w:rsidR="00233363" w:rsidRDefault="00233363" w:rsidP="00CD4669">
      <w:pPr>
        <w:spacing w:line="240" w:lineRule="auto"/>
      </w:pPr>
    </w:p>
    <w:sectPr w:rsidR="00233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BB4"/>
    <w:multiLevelType w:val="hybridMultilevel"/>
    <w:tmpl w:val="0F0ED592"/>
    <w:lvl w:ilvl="0" w:tplc="563CC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03084"/>
    <w:multiLevelType w:val="hybridMultilevel"/>
    <w:tmpl w:val="0D689076"/>
    <w:lvl w:ilvl="0" w:tplc="563CC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023DD"/>
    <w:multiLevelType w:val="hybridMultilevel"/>
    <w:tmpl w:val="3AB4876C"/>
    <w:lvl w:ilvl="0" w:tplc="563CC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763AB"/>
    <w:multiLevelType w:val="hybridMultilevel"/>
    <w:tmpl w:val="D6FC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87F9C"/>
    <w:multiLevelType w:val="hybridMultilevel"/>
    <w:tmpl w:val="9B18745E"/>
    <w:lvl w:ilvl="0" w:tplc="563CC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81D11"/>
    <w:multiLevelType w:val="hybridMultilevel"/>
    <w:tmpl w:val="966E80F0"/>
    <w:lvl w:ilvl="0" w:tplc="563CC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66859">
    <w:abstractNumId w:val="3"/>
  </w:num>
  <w:num w:numId="2" w16cid:durableId="1786146830">
    <w:abstractNumId w:val="5"/>
  </w:num>
  <w:num w:numId="3" w16cid:durableId="1249072864">
    <w:abstractNumId w:val="1"/>
  </w:num>
  <w:num w:numId="4" w16cid:durableId="2107311826">
    <w:abstractNumId w:val="4"/>
  </w:num>
  <w:num w:numId="5" w16cid:durableId="2126728765">
    <w:abstractNumId w:val="2"/>
  </w:num>
  <w:num w:numId="6" w16cid:durableId="14766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69"/>
    <w:rsid w:val="00124739"/>
    <w:rsid w:val="00125DA9"/>
    <w:rsid w:val="001A420E"/>
    <w:rsid w:val="00233363"/>
    <w:rsid w:val="00840C01"/>
    <w:rsid w:val="00AD5CB3"/>
    <w:rsid w:val="00B0274A"/>
    <w:rsid w:val="00BE2C46"/>
    <w:rsid w:val="00BE4666"/>
    <w:rsid w:val="00C84A8F"/>
    <w:rsid w:val="00CD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3002"/>
  <w15:chartTrackingRefBased/>
  <w15:docId w15:val="{11268A5C-5A03-4483-9370-AA2053C2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6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6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6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6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Uloma Akoma</dc:creator>
  <cp:keywords/>
  <dc:description/>
  <cp:lastModifiedBy>Uloma Akoma</cp:lastModifiedBy>
  <cp:revision>1</cp:revision>
  <dcterms:created xsi:type="dcterms:W3CDTF">2026-07-03T17:35:00Z</dcterms:created>
  <dcterms:modified xsi:type="dcterms:W3CDTF">2026-07-03T17:46:00Z</dcterms:modified>
</cp:coreProperties>
</file>